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Heading1"/>
        <w:spacing w:before="35"/>
        <w:ind w:left="4938" w:right="473"/>
      </w:pPr>
      <w:r>
        <w:rPr/>
        <w:t>Instructions - Income Eligibility Guidelines for Determining Free and Reduced-Price Benefits (H1625-A)</w:t>
      </w:r>
    </w:p>
    <w:p>
      <w:pPr>
        <w:pStyle w:val="BodyText"/>
        <w:rPr>
          <w:sz w:val="24"/>
        </w:rPr>
      </w:pPr>
    </w:p>
    <w:p>
      <w:pPr>
        <w:pStyle w:val="BodyText"/>
        <w:spacing w:before="4"/>
        <w:rPr>
          <w:sz w:val="24"/>
        </w:rPr>
      </w:pPr>
    </w:p>
    <w:p>
      <w:pPr>
        <w:spacing w:line="240" w:lineRule="auto" w:before="0"/>
        <w:ind w:left="111" w:right="344" w:firstLine="0"/>
        <w:jc w:val="left"/>
        <w:rPr>
          <w:sz w:val="24"/>
        </w:rPr>
      </w:pPr>
      <w:r>
        <w:rPr>
          <w:sz w:val="24"/>
        </w:rPr>
        <w:t>Contracting entities, sites and/or day care home providers must give this form to Program participants annually and potential participants as needed. This form must be provided at the same time as the </w:t>
      </w:r>
      <w:r>
        <w:rPr>
          <w:i/>
          <w:sz w:val="24"/>
        </w:rPr>
        <w:t>CACFP Meal Benefit Income Eligibility </w:t>
      </w:r>
      <w:r>
        <w:rPr>
          <w:sz w:val="24"/>
        </w:rPr>
        <w:t>form, and as requested.</w:t>
      </w:r>
    </w:p>
    <w:p>
      <w:pPr>
        <w:pStyle w:val="BodyText"/>
        <w:spacing w:before="4"/>
        <w:rPr>
          <w:b w:val="0"/>
          <w:sz w:val="24"/>
        </w:rPr>
      </w:pPr>
    </w:p>
    <w:p>
      <w:pPr>
        <w:spacing w:before="0"/>
        <w:ind w:left="111" w:right="0" w:firstLine="0"/>
        <w:jc w:val="left"/>
        <w:rPr>
          <w:b/>
          <w:sz w:val="24"/>
        </w:rPr>
      </w:pPr>
      <w:r>
        <w:rPr>
          <w:b/>
          <w:sz w:val="24"/>
        </w:rPr>
        <w:t>Form Retention</w:t>
      </w:r>
    </w:p>
    <w:p>
      <w:pPr>
        <w:pStyle w:val="BodyText"/>
        <w:spacing w:before="4"/>
        <w:rPr>
          <w:sz w:val="24"/>
        </w:rPr>
      </w:pPr>
    </w:p>
    <w:p>
      <w:pPr>
        <w:spacing w:before="0"/>
        <w:ind w:left="111" w:right="89" w:firstLine="0"/>
        <w:jc w:val="left"/>
        <w:rPr>
          <w:sz w:val="24"/>
        </w:rPr>
      </w:pPr>
      <w:r>
        <w:rPr>
          <w:sz w:val="24"/>
        </w:rPr>
        <w:t>Keep Form H1625-A for three years from the end of the program year. </w:t>
      </w:r>
      <w:r>
        <w:rPr>
          <w:b/>
          <w:sz w:val="24"/>
        </w:rPr>
        <w:t>Exception: </w:t>
      </w:r>
      <w:r>
        <w:rPr>
          <w:sz w:val="24"/>
        </w:rPr>
        <w:t>If audit findings, claims or litigation have not been resolved by the end of the retention period, all forms and records must be retained until all issues are resolved.</w:t>
      </w:r>
    </w:p>
    <w:p>
      <w:pPr>
        <w:spacing w:after="0"/>
        <w:jc w:val="left"/>
        <w:rPr>
          <w:sz w:val="24"/>
        </w:rPr>
        <w:sectPr>
          <w:type w:val="continuous"/>
          <w:pgSz w:w="12240" w:h="15840"/>
          <w:pgMar w:top="1220" w:bottom="280" w:left="620" w:right="380"/>
        </w:sect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rPr>
          <w:b w:val="0"/>
          <w:sz w:val="20"/>
        </w:rPr>
      </w:pPr>
    </w:p>
    <w:p>
      <w:pPr>
        <w:pStyle w:val="BodyText"/>
        <w:spacing w:before="4"/>
        <w:rPr>
          <w:b w:val="0"/>
          <w:sz w:val="21"/>
        </w:rPr>
      </w:pPr>
    </w:p>
    <w:p>
      <w:pPr>
        <w:spacing w:before="62"/>
        <w:ind w:left="2031" w:right="0" w:firstLine="0"/>
        <w:jc w:val="left"/>
        <w:rPr>
          <w:sz w:val="24"/>
        </w:rPr>
      </w:pPr>
      <w:r>
        <w:rPr>
          <w:sz w:val="24"/>
        </w:rPr>
        <w:t>THIS PAGE LEFT INTENTIONALLY BLANK</w:t>
      </w:r>
    </w:p>
    <w:p>
      <w:pPr>
        <w:spacing w:after="0"/>
        <w:jc w:val="left"/>
        <w:rPr>
          <w:sz w:val="24"/>
        </w:rPr>
        <w:sectPr>
          <w:pgSz w:w="12240" w:h="15840"/>
          <w:pgMar w:top="1500" w:bottom="280" w:left="1720" w:right="1720"/>
        </w:sectPr>
      </w:pPr>
    </w:p>
    <w:p>
      <w:pPr>
        <w:tabs>
          <w:tab w:pos="13256" w:val="left" w:leader="none"/>
        </w:tabs>
        <w:spacing w:before="47"/>
        <w:ind w:left="111" w:right="0" w:firstLine="0"/>
        <w:jc w:val="left"/>
        <w:rPr>
          <w:b/>
          <w:sz w:val="24"/>
        </w:rPr>
      </w:pPr>
      <w:r>
        <w:rPr>
          <w:sz w:val="20"/>
        </w:rPr>
        <w:t>Texas</w:t>
      </w:r>
      <w:r>
        <w:rPr>
          <w:spacing w:val="-2"/>
          <w:sz w:val="20"/>
        </w:rPr>
        <w:t> </w:t>
      </w:r>
      <w:r>
        <w:rPr>
          <w:sz w:val="20"/>
        </w:rPr>
        <w:t>Department</w:t>
      </w:r>
      <w:r>
        <w:rPr>
          <w:spacing w:val="-3"/>
          <w:sz w:val="20"/>
        </w:rPr>
        <w:t> </w:t>
      </w:r>
      <w:r>
        <w:rPr>
          <w:sz w:val="20"/>
        </w:rPr>
        <w:t>of</w:t>
        <w:tab/>
      </w:r>
      <w:r>
        <w:rPr>
          <w:b/>
          <w:sz w:val="24"/>
        </w:rPr>
        <w:t>Form H1625-A</w:t>
      </w:r>
    </w:p>
    <w:p>
      <w:pPr>
        <w:tabs>
          <w:tab w:pos="13940" w:val="left" w:leader="none"/>
        </w:tabs>
        <w:spacing w:before="1"/>
        <w:ind w:left="111" w:right="0" w:firstLine="0"/>
        <w:jc w:val="left"/>
        <w:rPr>
          <w:sz w:val="20"/>
        </w:rPr>
      </w:pPr>
      <w:r>
        <w:rPr>
          <w:sz w:val="20"/>
        </w:rPr>
        <w:t>Agriculture</w:t>
        <w:tab/>
        <w:t>June</w:t>
      </w:r>
      <w:r>
        <w:rPr>
          <w:spacing w:val="-8"/>
          <w:sz w:val="20"/>
        </w:rPr>
        <w:t> </w:t>
      </w:r>
      <w:r>
        <w:rPr>
          <w:sz w:val="20"/>
        </w:rPr>
        <w:t>2017</w:t>
      </w:r>
    </w:p>
    <w:p>
      <w:pPr>
        <w:pStyle w:val="BodyText"/>
        <w:rPr>
          <w:b w:val="0"/>
          <w:sz w:val="20"/>
        </w:rPr>
      </w:pPr>
    </w:p>
    <w:p>
      <w:pPr>
        <w:pStyle w:val="BodyText"/>
        <w:rPr>
          <w:b w:val="0"/>
          <w:sz w:val="24"/>
        </w:rPr>
      </w:pPr>
    </w:p>
    <w:p>
      <w:pPr>
        <w:tabs>
          <w:tab w:pos="8751" w:val="left" w:leader="none"/>
        </w:tabs>
        <w:spacing w:line="322" w:lineRule="exact" w:before="0"/>
        <w:ind w:left="111" w:right="0" w:firstLine="0"/>
        <w:jc w:val="left"/>
        <w:rPr>
          <w:sz w:val="28"/>
        </w:rPr>
      </w:pPr>
      <w:r>
        <w:rPr>
          <w:b/>
          <w:sz w:val="28"/>
        </w:rPr>
        <w:t>Income</w:t>
      </w:r>
      <w:r>
        <w:rPr>
          <w:b/>
          <w:spacing w:val="-3"/>
          <w:sz w:val="28"/>
        </w:rPr>
        <w:t> </w:t>
      </w:r>
      <w:r>
        <w:rPr>
          <w:b/>
          <w:sz w:val="28"/>
        </w:rPr>
        <w:t>Eligibility</w:t>
      </w:r>
      <w:r>
        <w:rPr>
          <w:b/>
          <w:spacing w:val="-9"/>
          <w:sz w:val="28"/>
        </w:rPr>
        <w:t> </w:t>
      </w:r>
      <w:r>
        <w:rPr>
          <w:b/>
          <w:sz w:val="28"/>
        </w:rPr>
        <w:t>Guidelines</w:t>
        <w:tab/>
      </w:r>
      <w:r>
        <w:rPr>
          <w:sz w:val="28"/>
        </w:rPr>
        <w:t>Ingresos máximos para</w:t>
      </w:r>
      <w:r>
        <w:rPr>
          <w:spacing w:val="-16"/>
          <w:sz w:val="28"/>
        </w:rPr>
        <w:t> </w:t>
      </w:r>
      <w:r>
        <w:rPr>
          <w:sz w:val="28"/>
        </w:rPr>
        <w:t>determinar</w:t>
      </w:r>
    </w:p>
    <w:p>
      <w:pPr>
        <w:tabs>
          <w:tab w:pos="8610" w:val="left" w:leader="none"/>
        </w:tabs>
        <w:spacing w:line="322" w:lineRule="exact" w:before="0"/>
        <w:ind w:left="111" w:right="0" w:firstLine="0"/>
        <w:jc w:val="left"/>
        <w:rPr>
          <w:sz w:val="28"/>
        </w:rPr>
      </w:pPr>
      <w:r>
        <w:rPr>
          <w:b/>
          <w:sz w:val="28"/>
        </w:rPr>
        <w:t>for Determining Free and</w:t>
      </w:r>
      <w:r>
        <w:rPr>
          <w:b/>
          <w:spacing w:val="-13"/>
          <w:sz w:val="28"/>
        </w:rPr>
        <w:t> </w:t>
      </w:r>
      <w:r>
        <w:rPr>
          <w:b/>
          <w:sz w:val="28"/>
        </w:rPr>
        <w:t>Reduced-Price</w:t>
      </w:r>
      <w:r>
        <w:rPr>
          <w:b/>
          <w:spacing w:val="-5"/>
          <w:sz w:val="28"/>
        </w:rPr>
        <w:t> </w:t>
      </w:r>
      <w:r>
        <w:rPr>
          <w:b/>
          <w:sz w:val="28"/>
        </w:rPr>
        <w:t>Benefits</w:t>
        <w:tab/>
      </w:r>
      <w:r>
        <w:rPr>
          <w:sz w:val="28"/>
        </w:rPr>
        <w:t>la elegibilidad para el programa de</w:t>
      </w:r>
      <w:r>
        <w:rPr>
          <w:spacing w:val="-27"/>
          <w:sz w:val="28"/>
        </w:rPr>
        <w:t> </w:t>
      </w:r>
      <w:r>
        <w:rPr>
          <w:sz w:val="28"/>
        </w:rPr>
        <w:t>nutrición</w:t>
      </w:r>
    </w:p>
    <w:p>
      <w:pPr>
        <w:tabs>
          <w:tab w:pos="8735" w:val="left" w:leader="none"/>
        </w:tabs>
        <w:spacing w:before="0"/>
        <w:ind w:left="111" w:right="0" w:firstLine="0"/>
        <w:jc w:val="left"/>
        <w:rPr>
          <w:sz w:val="28"/>
        </w:rPr>
      </w:pPr>
      <w:r>
        <w:rPr>
          <w:b/>
          <w:sz w:val="28"/>
        </w:rPr>
        <w:t>July 1, 2017 - June</w:t>
      </w:r>
      <w:r>
        <w:rPr>
          <w:b/>
          <w:spacing w:val="-9"/>
          <w:sz w:val="28"/>
        </w:rPr>
        <w:t> </w:t>
      </w:r>
      <w:r>
        <w:rPr>
          <w:b/>
          <w:sz w:val="28"/>
        </w:rPr>
        <w:t>30,</w:t>
      </w:r>
      <w:r>
        <w:rPr>
          <w:b/>
          <w:spacing w:val="-1"/>
          <w:sz w:val="28"/>
        </w:rPr>
        <w:t> </w:t>
      </w:r>
      <w:r>
        <w:rPr>
          <w:b/>
          <w:sz w:val="28"/>
        </w:rPr>
        <w:t>2018</w:t>
        <w:tab/>
      </w:r>
      <w:r>
        <w:rPr>
          <w:sz w:val="28"/>
        </w:rPr>
        <w:t>1 de julio de 2017 - 30 de junio de</w:t>
      </w:r>
      <w:r>
        <w:rPr>
          <w:spacing w:val="-18"/>
          <w:sz w:val="28"/>
        </w:rPr>
        <w:t> </w:t>
      </w:r>
      <w:r>
        <w:rPr>
          <w:sz w:val="28"/>
        </w:rPr>
        <w:t>2018</w:t>
      </w:r>
    </w:p>
    <w:p>
      <w:pPr>
        <w:pStyle w:val="BodyText"/>
        <w:spacing w:before="2"/>
        <w:rPr>
          <w:b w:val="0"/>
          <w:sz w:val="28"/>
        </w:rPr>
      </w:pPr>
    </w:p>
    <w:tbl>
      <w:tblPr>
        <w:tblW w:w="0" w:type="auto"/>
        <w:jc w:val="left"/>
        <w:tblInd w:w="181" w:type="dxa"/>
        <w:tblBorders>
          <w:top w:val="single" w:sz="18" w:space="0" w:color="000000"/>
          <w:left w:val="single" w:sz="18" w:space="0" w:color="000000"/>
          <w:bottom w:val="single" w:sz="18" w:space="0" w:color="000000"/>
          <w:right w:val="single" w:sz="18" w:space="0" w:color="000000"/>
          <w:insideH w:val="single" w:sz="18" w:space="0" w:color="000000"/>
          <w:insideV w:val="single" w:sz="18" w:space="0" w:color="000000"/>
        </w:tblBorders>
        <w:tblLayout w:type="fixed"/>
        <w:tblCellMar>
          <w:top w:w="0" w:type="dxa"/>
          <w:left w:w="0" w:type="dxa"/>
          <w:bottom w:w="0" w:type="dxa"/>
          <w:right w:w="0" w:type="dxa"/>
        </w:tblCellMar>
        <w:tblLook w:val="01E0"/>
      </w:tblPr>
      <w:tblGrid>
        <w:gridCol w:w="1620"/>
        <w:gridCol w:w="2429"/>
        <w:gridCol w:w="2700"/>
        <w:gridCol w:w="2520"/>
        <w:gridCol w:w="2700"/>
        <w:gridCol w:w="2251"/>
      </w:tblGrid>
      <w:tr>
        <w:trPr>
          <w:trHeight w:val="780" w:hRule="atLeast"/>
        </w:trPr>
        <w:tc>
          <w:tcPr>
            <w:tcW w:w="1620" w:type="dxa"/>
            <w:tcBorders>
              <w:bottom w:val="single" w:sz="4" w:space="0" w:color="000000"/>
              <w:right w:val="double" w:sz="1" w:space="0" w:color="000000"/>
            </w:tcBorders>
          </w:tcPr>
          <w:p>
            <w:pPr>
              <w:pStyle w:val="TableParagraph"/>
              <w:spacing w:before="7"/>
              <w:ind w:left="0"/>
              <w:jc w:val="left"/>
              <w:rPr>
                <w:sz w:val="21"/>
              </w:rPr>
            </w:pPr>
          </w:p>
          <w:p>
            <w:pPr>
              <w:pStyle w:val="TableParagraph"/>
              <w:spacing w:before="0"/>
              <w:ind w:left="541" w:right="376" w:hanging="164"/>
              <w:jc w:val="left"/>
              <w:rPr>
                <w:b/>
                <w:sz w:val="22"/>
              </w:rPr>
            </w:pPr>
            <w:r>
              <w:rPr>
                <w:b/>
                <w:sz w:val="22"/>
              </w:rPr>
              <w:t>FAMILY SIZE</w:t>
            </w:r>
          </w:p>
        </w:tc>
        <w:tc>
          <w:tcPr>
            <w:tcW w:w="2429" w:type="dxa"/>
            <w:tcBorders>
              <w:left w:val="double" w:sz="1" w:space="0" w:color="000000"/>
              <w:bottom w:val="single" w:sz="4" w:space="0" w:color="000000"/>
              <w:right w:val="double" w:sz="1" w:space="0" w:color="000000"/>
            </w:tcBorders>
          </w:tcPr>
          <w:p>
            <w:pPr>
              <w:pStyle w:val="TableParagraph"/>
              <w:spacing w:before="7"/>
              <w:ind w:left="0"/>
              <w:jc w:val="left"/>
              <w:rPr>
                <w:sz w:val="21"/>
              </w:rPr>
            </w:pPr>
          </w:p>
          <w:p>
            <w:pPr>
              <w:pStyle w:val="TableParagraph"/>
              <w:spacing w:before="0"/>
              <w:ind w:left="743"/>
              <w:jc w:val="left"/>
              <w:rPr>
                <w:b/>
                <w:sz w:val="22"/>
              </w:rPr>
            </w:pPr>
            <w:r>
              <w:rPr>
                <w:b/>
                <w:sz w:val="22"/>
              </w:rPr>
              <w:t>ANNUAL</w:t>
            </w:r>
          </w:p>
          <w:p>
            <w:pPr>
              <w:pStyle w:val="TableParagraph"/>
              <w:spacing w:before="3"/>
              <w:ind w:left="715"/>
              <w:jc w:val="left"/>
              <w:rPr>
                <w:sz w:val="20"/>
              </w:rPr>
            </w:pPr>
            <w:r>
              <w:rPr>
                <w:sz w:val="20"/>
              </w:rPr>
              <w:t>REDUCED</w:t>
            </w:r>
          </w:p>
        </w:tc>
        <w:tc>
          <w:tcPr>
            <w:tcW w:w="2700" w:type="dxa"/>
            <w:tcBorders>
              <w:left w:val="double" w:sz="1" w:space="0" w:color="000000"/>
              <w:bottom w:val="single" w:sz="4" w:space="0" w:color="000000"/>
              <w:right w:val="double" w:sz="1" w:space="0" w:color="000000"/>
            </w:tcBorders>
          </w:tcPr>
          <w:p>
            <w:pPr>
              <w:pStyle w:val="TableParagraph"/>
              <w:spacing w:before="7"/>
              <w:ind w:left="0"/>
              <w:jc w:val="left"/>
              <w:rPr>
                <w:sz w:val="21"/>
              </w:rPr>
            </w:pPr>
          </w:p>
          <w:p>
            <w:pPr>
              <w:pStyle w:val="TableParagraph"/>
              <w:spacing w:before="0"/>
              <w:ind w:left="801"/>
              <w:jc w:val="left"/>
              <w:rPr>
                <w:b/>
                <w:sz w:val="22"/>
              </w:rPr>
            </w:pPr>
            <w:r>
              <w:rPr>
                <w:b/>
                <w:sz w:val="22"/>
              </w:rPr>
              <w:t>MONTHLY</w:t>
            </w:r>
          </w:p>
          <w:p>
            <w:pPr>
              <w:pStyle w:val="TableParagraph"/>
              <w:spacing w:before="3"/>
              <w:ind w:left="849"/>
              <w:jc w:val="left"/>
              <w:rPr>
                <w:sz w:val="20"/>
              </w:rPr>
            </w:pPr>
            <w:r>
              <w:rPr>
                <w:sz w:val="20"/>
              </w:rPr>
              <w:t>REDUCED</w:t>
            </w:r>
          </w:p>
        </w:tc>
        <w:tc>
          <w:tcPr>
            <w:tcW w:w="2520" w:type="dxa"/>
            <w:tcBorders>
              <w:left w:val="double" w:sz="1" w:space="0" w:color="000000"/>
              <w:bottom w:val="single" w:sz="4" w:space="0" w:color="000000"/>
              <w:right w:val="double" w:sz="1" w:space="0" w:color="000000"/>
            </w:tcBorders>
          </w:tcPr>
          <w:p>
            <w:pPr>
              <w:pStyle w:val="TableParagraph"/>
              <w:spacing w:before="7"/>
              <w:ind w:left="0"/>
              <w:jc w:val="left"/>
              <w:rPr>
                <w:sz w:val="21"/>
              </w:rPr>
            </w:pPr>
          </w:p>
          <w:p>
            <w:pPr>
              <w:pStyle w:val="TableParagraph"/>
              <w:spacing w:before="0"/>
              <w:ind w:left="305" w:right="306"/>
              <w:rPr>
                <w:b/>
                <w:sz w:val="22"/>
              </w:rPr>
            </w:pPr>
            <w:r>
              <w:rPr>
                <w:b/>
                <w:sz w:val="22"/>
              </w:rPr>
              <w:t>TWICE MONTHLY</w:t>
            </w:r>
          </w:p>
          <w:p>
            <w:pPr>
              <w:pStyle w:val="TableParagraph"/>
              <w:spacing w:before="3"/>
              <w:ind w:left="305" w:right="305"/>
              <w:rPr>
                <w:sz w:val="20"/>
              </w:rPr>
            </w:pPr>
            <w:r>
              <w:rPr>
                <w:sz w:val="20"/>
              </w:rPr>
              <w:t>REDUCED</w:t>
            </w:r>
          </w:p>
        </w:tc>
        <w:tc>
          <w:tcPr>
            <w:tcW w:w="2700" w:type="dxa"/>
            <w:tcBorders>
              <w:left w:val="double" w:sz="1" w:space="0" w:color="000000"/>
              <w:bottom w:val="single" w:sz="4" w:space="0" w:color="000000"/>
              <w:right w:val="double" w:sz="1" w:space="0" w:color="000000"/>
            </w:tcBorders>
          </w:tcPr>
          <w:p>
            <w:pPr>
              <w:pStyle w:val="TableParagraph"/>
              <w:spacing w:before="8"/>
              <w:ind w:left="0"/>
              <w:jc w:val="left"/>
              <w:rPr>
                <w:sz w:val="23"/>
              </w:rPr>
            </w:pPr>
          </w:p>
          <w:p>
            <w:pPr>
              <w:pStyle w:val="TableParagraph"/>
              <w:spacing w:before="0"/>
              <w:ind w:left="652" w:right="651"/>
              <w:rPr>
                <w:b/>
                <w:sz w:val="24"/>
              </w:rPr>
            </w:pPr>
            <w:r>
              <w:rPr>
                <w:b/>
                <w:sz w:val="24"/>
              </w:rPr>
              <w:t>BI-WEEKLY</w:t>
            </w:r>
          </w:p>
          <w:p>
            <w:pPr>
              <w:pStyle w:val="TableParagraph"/>
              <w:spacing w:line="213" w:lineRule="exact" w:before="1"/>
              <w:ind w:left="649" w:right="651"/>
              <w:rPr>
                <w:sz w:val="20"/>
              </w:rPr>
            </w:pPr>
            <w:r>
              <w:rPr>
                <w:sz w:val="20"/>
              </w:rPr>
              <w:t>REDUCED</w:t>
            </w:r>
          </w:p>
        </w:tc>
        <w:tc>
          <w:tcPr>
            <w:tcW w:w="2251" w:type="dxa"/>
            <w:tcBorders>
              <w:left w:val="double" w:sz="1" w:space="0" w:color="000000"/>
              <w:bottom w:val="single" w:sz="4" w:space="0" w:color="000000"/>
            </w:tcBorders>
          </w:tcPr>
          <w:p>
            <w:pPr>
              <w:pStyle w:val="TableParagraph"/>
              <w:spacing w:before="7"/>
              <w:ind w:left="0"/>
              <w:jc w:val="left"/>
              <w:rPr>
                <w:sz w:val="21"/>
              </w:rPr>
            </w:pPr>
          </w:p>
          <w:p>
            <w:pPr>
              <w:pStyle w:val="TableParagraph"/>
              <w:spacing w:before="0"/>
              <w:ind w:left="719"/>
              <w:jc w:val="left"/>
              <w:rPr>
                <w:b/>
                <w:sz w:val="22"/>
              </w:rPr>
            </w:pPr>
            <w:r>
              <w:rPr>
                <w:b/>
                <w:sz w:val="22"/>
              </w:rPr>
              <w:t>WEEKLY</w:t>
            </w:r>
          </w:p>
          <w:p>
            <w:pPr>
              <w:pStyle w:val="TableParagraph"/>
              <w:spacing w:before="3"/>
              <w:ind w:left="695"/>
              <w:jc w:val="left"/>
              <w:rPr>
                <w:sz w:val="20"/>
              </w:rPr>
            </w:pPr>
            <w:r>
              <w:rPr>
                <w:sz w:val="20"/>
              </w:rPr>
              <w:t>REDUCED</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1</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$22,311</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$1,860</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5"/>
              <w:rPr>
                <w:sz w:val="22"/>
              </w:rPr>
            </w:pPr>
            <w:r>
              <w:rPr>
                <w:sz w:val="22"/>
              </w:rPr>
              <w:t>$930</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left="650" w:right="651"/>
              <w:rPr>
                <w:sz w:val="22"/>
              </w:rPr>
            </w:pPr>
            <w:r>
              <w:rPr>
                <w:sz w:val="22"/>
              </w:rPr>
              <w:t>$859</w:t>
            </w:r>
          </w:p>
        </w:tc>
        <w:tc>
          <w:tcPr>
            <w:tcW w:w="2251" w:type="dxa"/>
            <w:tcBorders>
              <w:top w:val="single" w:sz="4" w:space="0" w:color="000000"/>
              <w:left w:val="double" w:sz="1" w:space="0" w:color="000000"/>
              <w:bottom w:val="single" w:sz="4" w:space="0" w:color="000000"/>
            </w:tcBorders>
          </w:tcPr>
          <w:p>
            <w:pPr>
              <w:pStyle w:val="TableParagraph"/>
              <w:ind w:left="760" w:right="747"/>
              <w:rPr>
                <w:sz w:val="22"/>
              </w:rPr>
            </w:pPr>
            <w:r>
              <w:rPr>
                <w:sz w:val="22"/>
              </w:rPr>
              <w:t>$430</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2</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$30,044</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$2,504</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$1,252</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$1,156</w:t>
            </w:r>
          </w:p>
        </w:tc>
        <w:tc>
          <w:tcPr>
            <w:tcW w:w="2251" w:type="dxa"/>
            <w:tcBorders>
              <w:top w:val="single" w:sz="4" w:space="0" w:color="000000"/>
              <w:left w:val="double" w:sz="1" w:space="0" w:color="000000"/>
              <w:bottom w:val="single" w:sz="4" w:space="0" w:color="000000"/>
            </w:tcBorders>
          </w:tcPr>
          <w:p>
            <w:pPr>
              <w:pStyle w:val="TableParagraph"/>
              <w:ind w:left="760" w:right="747"/>
              <w:rPr>
                <w:sz w:val="22"/>
              </w:rPr>
            </w:pPr>
            <w:r>
              <w:rPr>
                <w:sz w:val="22"/>
              </w:rPr>
              <w:t>$578</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3</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$37,777</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$3,149</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$1,575</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$1,453</w:t>
            </w:r>
          </w:p>
        </w:tc>
        <w:tc>
          <w:tcPr>
            <w:tcW w:w="2251" w:type="dxa"/>
            <w:tcBorders>
              <w:top w:val="single" w:sz="4" w:space="0" w:color="000000"/>
              <w:left w:val="double" w:sz="1" w:space="0" w:color="000000"/>
              <w:bottom w:val="single" w:sz="4" w:space="0" w:color="000000"/>
            </w:tcBorders>
          </w:tcPr>
          <w:p>
            <w:pPr>
              <w:pStyle w:val="TableParagraph"/>
              <w:ind w:left="760" w:right="747"/>
              <w:rPr>
                <w:sz w:val="22"/>
              </w:rPr>
            </w:pPr>
            <w:r>
              <w:rPr>
                <w:sz w:val="22"/>
              </w:rPr>
              <w:t>$727</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4</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$45,510</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$3,793</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$1,897</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$1,751</w:t>
            </w:r>
          </w:p>
        </w:tc>
        <w:tc>
          <w:tcPr>
            <w:tcW w:w="2251" w:type="dxa"/>
            <w:tcBorders>
              <w:top w:val="single" w:sz="4" w:space="0" w:color="000000"/>
              <w:left w:val="double" w:sz="1" w:space="0" w:color="000000"/>
              <w:bottom w:val="single" w:sz="4" w:space="0" w:color="000000"/>
            </w:tcBorders>
          </w:tcPr>
          <w:p>
            <w:pPr>
              <w:pStyle w:val="TableParagraph"/>
              <w:ind w:left="760" w:right="747"/>
              <w:rPr>
                <w:sz w:val="22"/>
              </w:rPr>
            </w:pPr>
            <w:r>
              <w:rPr>
                <w:sz w:val="22"/>
              </w:rPr>
              <w:t>$876</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5</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$53,243</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$4,437</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$2,219</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$2,048</w:t>
            </w:r>
          </w:p>
        </w:tc>
        <w:tc>
          <w:tcPr>
            <w:tcW w:w="2251" w:type="dxa"/>
            <w:tcBorders>
              <w:top w:val="single" w:sz="4" w:space="0" w:color="000000"/>
              <w:left w:val="double" w:sz="1" w:space="0" w:color="000000"/>
              <w:bottom w:val="single" w:sz="4" w:space="0" w:color="000000"/>
            </w:tcBorders>
          </w:tcPr>
          <w:p>
            <w:pPr>
              <w:pStyle w:val="TableParagraph"/>
              <w:ind w:left="762" w:right="747"/>
              <w:rPr>
                <w:sz w:val="22"/>
              </w:rPr>
            </w:pPr>
            <w:r>
              <w:rPr>
                <w:sz w:val="22"/>
              </w:rPr>
              <w:t>$1,024</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6</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$60,976</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$5,082</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$2,541</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$2,346</w:t>
            </w:r>
          </w:p>
        </w:tc>
        <w:tc>
          <w:tcPr>
            <w:tcW w:w="2251" w:type="dxa"/>
            <w:tcBorders>
              <w:top w:val="single" w:sz="4" w:space="0" w:color="000000"/>
              <w:left w:val="double" w:sz="1" w:space="0" w:color="000000"/>
              <w:bottom w:val="single" w:sz="4" w:space="0" w:color="000000"/>
            </w:tcBorders>
          </w:tcPr>
          <w:p>
            <w:pPr>
              <w:pStyle w:val="TableParagraph"/>
              <w:ind w:left="762" w:right="747"/>
              <w:rPr>
                <w:sz w:val="22"/>
              </w:rPr>
            </w:pPr>
            <w:r>
              <w:rPr>
                <w:sz w:val="22"/>
              </w:rPr>
              <w:t>$1,173</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7</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$68,709</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$5,726</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$2,863</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$2,643</w:t>
            </w:r>
          </w:p>
        </w:tc>
        <w:tc>
          <w:tcPr>
            <w:tcW w:w="2251" w:type="dxa"/>
            <w:tcBorders>
              <w:top w:val="single" w:sz="4" w:space="0" w:color="000000"/>
              <w:left w:val="double" w:sz="1" w:space="0" w:color="000000"/>
              <w:bottom w:val="single" w:sz="4" w:space="0" w:color="000000"/>
            </w:tcBorders>
          </w:tcPr>
          <w:p>
            <w:pPr>
              <w:pStyle w:val="TableParagraph"/>
              <w:ind w:left="762" w:right="747"/>
              <w:rPr>
                <w:sz w:val="22"/>
              </w:rPr>
            </w:pPr>
            <w:r>
              <w:rPr>
                <w:sz w:val="22"/>
              </w:rPr>
              <w:t>$1,322</w:t>
            </w:r>
          </w:p>
        </w:tc>
      </w:tr>
      <w:tr>
        <w:trPr>
          <w:trHeight w:val="500" w:hRule="atLeast"/>
        </w:trPr>
        <w:tc>
          <w:tcPr>
            <w:tcW w:w="1620" w:type="dxa"/>
            <w:tcBorders>
              <w:top w:val="single" w:sz="4" w:space="0" w:color="000000"/>
              <w:bottom w:val="single" w:sz="4" w:space="0" w:color="000000"/>
              <w:right w:val="double" w:sz="1" w:space="0" w:color="000000"/>
            </w:tcBorders>
          </w:tcPr>
          <w:p>
            <w:pPr>
              <w:pStyle w:val="TableParagraph"/>
              <w:spacing w:line="250" w:lineRule="exact" w:before="0"/>
              <w:ind w:left="726"/>
              <w:jc w:val="left"/>
              <w:rPr>
                <w:sz w:val="22"/>
              </w:rPr>
            </w:pPr>
            <w:r>
              <w:rPr>
                <w:w w:val="100"/>
                <w:sz w:val="22"/>
              </w:rPr>
              <w:t>8</w:t>
            </w:r>
          </w:p>
        </w:tc>
        <w:tc>
          <w:tcPr>
            <w:tcW w:w="2429" w:type="dxa"/>
            <w:tcBorders>
              <w:top w:val="single" w:sz="4" w:space="0" w:color="000000"/>
              <w:left w:val="double" w:sz="1" w:space="0" w:color="000000"/>
              <w:bottom w:val="single" w:sz="4" w:space="0" w:color="000000"/>
              <w:right w:val="double" w:sz="1" w:space="0" w:color="000000"/>
            </w:tcBorders>
          </w:tcPr>
          <w:p>
            <w:pPr>
              <w:pStyle w:val="TableParagraph"/>
              <w:ind w:left="791" w:right="791"/>
              <w:rPr>
                <w:sz w:val="22"/>
              </w:rPr>
            </w:pPr>
            <w:r>
              <w:rPr>
                <w:sz w:val="22"/>
              </w:rPr>
              <w:t>$76,442</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$6,371</w:t>
            </w:r>
          </w:p>
        </w:tc>
        <w:tc>
          <w:tcPr>
            <w:tcW w:w="2520" w:type="dxa"/>
            <w:tcBorders>
              <w:top w:val="single" w:sz="4" w:space="0" w:color="000000"/>
              <w:left w:val="double" w:sz="1" w:space="0" w:color="000000"/>
              <w:bottom w:val="single" w:sz="4" w:space="0" w:color="000000"/>
              <w:right w:val="double" w:sz="1" w:space="0" w:color="000000"/>
            </w:tcBorders>
          </w:tcPr>
          <w:p>
            <w:pPr>
              <w:pStyle w:val="TableParagraph"/>
              <w:ind w:left="305" w:right="303"/>
              <w:rPr>
                <w:sz w:val="22"/>
              </w:rPr>
            </w:pPr>
            <w:r>
              <w:rPr>
                <w:sz w:val="22"/>
              </w:rPr>
              <w:t>$3,186</w:t>
            </w:r>
          </w:p>
        </w:tc>
        <w:tc>
          <w:tcPr>
            <w:tcW w:w="2700" w:type="dxa"/>
            <w:tcBorders>
              <w:top w:val="single" w:sz="4" w:space="0" w:color="000000"/>
              <w:left w:val="double" w:sz="1" w:space="0" w:color="000000"/>
              <w:bottom w:val="single" w:sz="4" w:space="0" w:color="000000"/>
              <w:right w:val="double" w:sz="1" w:space="0" w:color="000000"/>
            </w:tcBorders>
          </w:tcPr>
          <w:p>
            <w:pPr>
              <w:pStyle w:val="TableParagraph"/>
              <w:ind w:right="651"/>
              <w:rPr>
                <w:sz w:val="22"/>
              </w:rPr>
            </w:pPr>
            <w:r>
              <w:rPr>
                <w:sz w:val="22"/>
              </w:rPr>
              <w:t>$2,941</w:t>
            </w:r>
          </w:p>
        </w:tc>
        <w:tc>
          <w:tcPr>
            <w:tcW w:w="2251" w:type="dxa"/>
            <w:tcBorders>
              <w:top w:val="single" w:sz="4" w:space="0" w:color="000000"/>
              <w:left w:val="double" w:sz="1" w:space="0" w:color="000000"/>
              <w:bottom w:val="single" w:sz="4" w:space="0" w:color="000000"/>
            </w:tcBorders>
          </w:tcPr>
          <w:p>
            <w:pPr>
              <w:pStyle w:val="TableParagraph"/>
              <w:ind w:left="762" w:right="747"/>
              <w:rPr>
                <w:sz w:val="22"/>
              </w:rPr>
            </w:pPr>
            <w:r>
              <w:rPr>
                <w:sz w:val="22"/>
              </w:rPr>
              <w:t>$1,471</w:t>
            </w:r>
          </w:p>
        </w:tc>
      </w:tr>
      <w:tr>
        <w:trPr>
          <w:trHeight w:val="520" w:hRule="atLeast"/>
        </w:trPr>
        <w:tc>
          <w:tcPr>
            <w:tcW w:w="4049" w:type="dxa"/>
            <w:gridSpan w:val="2"/>
            <w:tcBorders>
              <w:top w:val="single" w:sz="4" w:space="0" w:color="000000"/>
              <w:right w:val="double" w:sz="1" w:space="0" w:color="000000"/>
            </w:tcBorders>
          </w:tcPr>
          <w:p>
            <w:pPr>
              <w:pStyle w:val="TableParagraph"/>
              <w:spacing w:line="250" w:lineRule="exact" w:before="0"/>
              <w:ind w:left="85"/>
              <w:jc w:val="left"/>
              <w:rPr>
                <w:sz w:val="22"/>
              </w:rPr>
            </w:pPr>
            <w:r>
              <w:rPr>
                <w:sz w:val="22"/>
              </w:rPr>
              <w:t>For each additional</w:t>
            </w:r>
          </w:p>
          <w:p>
            <w:pPr>
              <w:pStyle w:val="TableParagraph"/>
              <w:tabs>
                <w:tab w:pos="2387" w:val="left" w:leader="none"/>
              </w:tabs>
              <w:spacing w:line="252" w:lineRule="exact" w:before="0"/>
              <w:ind w:left="85"/>
              <w:jc w:val="left"/>
              <w:rPr>
                <w:sz w:val="22"/>
              </w:rPr>
            </w:pPr>
            <w:r>
              <w:rPr>
                <w:sz w:val="22"/>
              </w:rPr>
              <w:t>family</w:t>
            </w:r>
            <w:r>
              <w:rPr>
                <w:spacing w:val="-4"/>
                <w:sz w:val="22"/>
              </w:rPr>
              <w:t> </w:t>
            </w:r>
            <w:r>
              <w:rPr>
                <w:sz w:val="22"/>
              </w:rPr>
              <w:t>member add:</w:t>
              <w:tab/>
              <w:t>$7,733</w:t>
            </w:r>
          </w:p>
        </w:tc>
        <w:tc>
          <w:tcPr>
            <w:tcW w:w="2700" w:type="dxa"/>
            <w:tcBorders>
              <w:top w:val="single" w:sz="4" w:space="0" w:color="000000"/>
              <w:left w:val="double" w:sz="1" w:space="0" w:color="000000"/>
              <w:right w:val="double" w:sz="1" w:space="0" w:color="000000"/>
            </w:tcBorders>
          </w:tcPr>
          <w:p>
            <w:pPr>
              <w:pStyle w:val="TableParagraph"/>
              <w:spacing w:before="8"/>
              <w:ind w:left="0"/>
              <w:jc w:val="left"/>
              <w:rPr>
                <w:sz w:val="22"/>
              </w:rPr>
            </w:pPr>
          </w:p>
          <w:p>
            <w:pPr>
              <w:pStyle w:val="TableParagraph"/>
              <w:spacing w:line="248" w:lineRule="exact" w:before="0"/>
              <w:ind w:left="650" w:right="651"/>
              <w:rPr>
                <w:sz w:val="22"/>
              </w:rPr>
            </w:pPr>
            <w:r>
              <w:rPr>
                <w:sz w:val="22"/>
              </w:rPr>
              <w:t>$645</w:t>
            </w:r>
          </w:p>
        </w:tc>
        <w:tc>
          <w:tcPr>
            <w:tcW w:w="2520" w:type="dxa"/>
            <w:tcBorders>
              <w:top w:val="single" w:sz="4" w:space="0" w:color="000000"/>
              <w:left w:val="double" w:sz="1" w:space="0" w:color="000000"/>
              <w:right w:val="double" w:sz="1" w:space="0" w:color="000000"/>
            </w:tcBorders>
          </w:tcPr>
          <w:p>
            <w:pPr>
              <w:pStyle w:val="TableParagraph"/>
              <w:spacing w:before="8"/>
              <w:ind w:left="0"/>
              <w:jc w:val="left"/>
              <w:rPr>
                <w:sz w:val="22"/>
              </w:rPr>
            </w:pPr>
          </w:p>
          <w:p>
            <w:pPr>
              <w:pStyle w:val="TableParagraph"/>
              <w:spacing w:line="248" w:lineRule="exact" w:before="0"/>
              <w:ind w:left="305" w:right="305"/>
              <w:rPr>
                <w:sz w:val="22"/>
              </w:rPr>
            </w:pPr>
            <w:r>
              <w:rPr>
                <w:sz w:val="22"/>
              </w:rPr>
              <w:t>$323</w:t>
            </w:r>
          </w:p>
        </w:tc>
        <w:tc>
          <w:tcPr>
            <w:tcW w:w="2700" w:type="dxa"/>
            <w:tcBorders>
              <w:top w:val="single" w:sz="4" w:space="0" w:color="000000"/>
              <w:left w:val="double" w:sz="1" w:space="0" w:color="000000"/>
              <w:right w:val="double" w:sz="1" w:space="0" w:color="000000"/>
            </w:tcBorders>
          </w:tcPr>
          <w:p>
            <w:pPr>
              <w:pStyle w:val="TableParagraph"/>
              <w:spacing w:before="8"/>
              <w:ind w:left="0"/>
              <w:jc w:val="left"/>
              <w:rPr>
                <w:sz w:val="22"/>
              </w:rPr>
            </w:pPr>
          </w:p>
          <w:p>
            <w:pPr>
              <w:pStyle w:val="TableParagraph"/>
              <w:spacing w:line="248" w:lineRule="exact" w:before="0"/>
              <w:ind w:left="650" w:right="651"/>
              <w:rPr>
                <w:sz w:val="22"/>
              </w:rPr>
            </w:pPr>
            <w:r>
              <w:rPr>
                <w:sz w:val="22"/>
              </w:rPr>
              <w:t>$298</w:t>
            </w:r>
          </w:p>
        </w:tc>
        <w:tc>
          <w:tcPr>
            <w:tcW w:w="2251" w:type="dxa"/>
            <w:tcBorders>
              <w:top w:val="single" w:sz="4" w:space="0" w:color="000000"/>
              <w:left w:val="double" w:sz="1" w:space="0" w:color="000000"/>
            </w:tcBorders>
          </w:tcPr>
          <w:p>
            <w:pPr>
              <w:pStyle w:val="TableParagraph"/>
              <w:spacing w:before="8"/>
              <w:ind w:left="0"/>
              <w:jc w:val="left"/>
              <w:rPr>
                <w:sz w:val="22"/>
              </w:rPr>
            </w:pPr>
          </w:p>
          <w:p>
            <w:pPr>
              <w:pStyle w:val="TableParagraph"/>
              <w:spacing w:line="248" w:lineRule="exact" w:before="0"/>
              <w:ind w:left="760" w:right="747"/>
              <w:rPr>
                <w:sz w:val="22"/>
              </w:rPr>
            </w:pPr>
            <w:r>
              <w:rPr>
                <w:sz w:val="22"/>
              </w:rPr>
              <w:t>$149</w:t>
            </w:r>
          </w:p>
        </w:tc>
      </w:tr>
    </w:tbl>
    <w:p>
      <w:pPr>
        <w:pStyle w:val="BodyText"/>
        <w:rPr>
          <w:b w:val="0"/>
          <w:sz w:val="20"/>
        </w:rPr>
      </w:pPr>
    </w:p>
    <w:p>
      <w:pPr>
        <w:pStyle w:val="BodyText"/>
        <w:spacing w:before="5"/>
        <w:rPr>
          <w:b w:val="0"/>
        </w:rPr>
      </w:pPr>
      <w:r>
        <w:rPr/>
        <w:pict>
          <v:shapetype id="_x0000_t202" o:spt="202" coordsize="21600,21600" path="m,l,21600r21600,l21600,xe">
            <v:stroke joinstyle="miter"/>
            <v:path gradientshapeok="t" o:connecttype="rect"/>
          </v:shapetype>
          <v:shape style="position:absolute;margin-left:26.03952pt;margin-top:12.981444pt;width:351pt;height:144pt;mso-position-horizontal-relative:page;mso-position-vertical-relative:paragraph;z-index:0;mso-wrap-distance-left:0;mso-wrap-distance-right:0" type="#_x0000_t202" filled="false" stroked="true" strokeweight=".75pt" strokecolor="#000000">
            <v:textbox inset="0,0,0,0">
              <w:txbxContent>
                <w:p>
                  <w:pPr>
                    <w:spacing w:before="66"/>
                    <w:ind w:left="146" w:right="385" w:firstLine="0"/>
                    <w:jc w:val="left"/>
                    <w:rPr>
                      <w:b/>
                      <w:sz w:val="20"/>
                    </w:rPr>
                  </w:pPr>
                  <w:r>
                    <w:rPr>
                      <w:b/>
                      <w:sz w:val="20"/>
                    </w:rPr>
                    <w:t>Children from households whose incomes are at or below the levels shown above, or who receive Temporary Assistance for Needy Families (TANF) or Supplemental Nutrition Assistance Program (SNAP) benefits, are eligible for free or reduced-price meals.</w:t>
                  </w:r>
                </w:p>
                <w:p>
                  <w:pPr>
                    <w:pStyle w:val="BodyText"/>
                    <w:rPr>
                      <w:b w:val="0"/>
                      <w:sz w:val="20"/>
                    </w:rPr>
                  </w:pPr>
                </w:p>
                <w:p>
                  <w:pPr>
                    <w:spacing w:line="244" w:lineRule="auto" w:before="0"/>
                    <w:ind w:left="146" w:right="156" w:firstLine="0"/>
                    <w:jc w:val="left"/>
                    <w:rPr>
                      <w:b/>
                      <w:sz w:val="20"/>
                    </w:rPr>
                  </w:pPr>
                  <w:r>
                    <w:rPr>
                      <w:b/>
                      <w:sz w:val="20"/>
                    </w:rPr>
                    <w:t>Adult Day Care participants whose household incomes are at or below the levels shown above, or who receive Medicaid, Supplemental Security Income (SSI) or SNAP benefits, are eligible for free or reduced-price meals.</w:t>
                  </w:r>
                </w:p>
              </w:txbxContent>
            </v:textbox>
            <v:stroke dashstyle="solid"/>
            <w10:wrap type="topAndBottom"/>
          </v:shape>
        </w:pict>
      </w:r>
      <w:r>
        <w:rPr/>
        <w:pict>
          <v:shape style="position:absolute;margin-left:387.600006pt;margin-top:12.981444pt;width:351pt;height:144pt;mso-position-horizontal-relative:page;mso-position-vertical-relative:paragraph;z-index:1048;mso-wrap-distance-left:0;mso-wrap-distance-right:0" type="#_x0000_t202" filled="false" stroked="true" strokeweight=".75pt" strokecolor="#000000">
            <v:textbox inset="0,0,0,0">
              <w:txbxContent>
                <w:p>
                  <w:pPr>
                    <w:pStyle w:val="BodyText"/>
                    <w:spacing w:before="66"/>
                    <w:ind w:left="143" w:right="156"/>
                  </w:pPr>
                  <w:r>
                    <w:rPr/>
                    <w:t>Los niños de hogares con ingresos iguales o menores a los niveles indicados anteriormente, o que reciben Asistencia Temporal para Familias Necesitadas (TANF), ayuda del Programa Suplementario de Asistencia Nutricional (SNAP), o del Programa de Distribución de Alimentos en Reservaciones Indígenas (FDPIR) califican para recibir comidas gratuitas o a precio reducido.</w:t>
                  </w:r>
                </w:p>
                <w:p>
                  <w:pPr>
                    <w:pStyle w:val="BodyText"/>
                    <w:spacing w:before="10"/>
                    <w:rPr>
                      <w:b w:val="0"/>
                      <w:sz w:val="17"/>
                    </w:rPr>
                  </w:pPr>
                </w:p>
                <w:p>
                  <w:pPr>
                    <w:pStyle w:val="BodyText"/>
                    <w:ind w:left="143" w:right="156"/>
                  </w:pPr>
                  <w:r>
                    <w:rPr/>
                    <w:t>Las personas que participan en programas de Cuidado Diario para Adultos cuyos ingresos familiares son iguales o por debajo de los niveles indicados anteriormente, o que reciben Medicaid, Seguridad de Ingreso Suplementario (SSI), TANF, o beneficios de SNAP o FDPIR califican para recibir comidas gratuitas o a precio reducido.</w:t>
                  </w:r>
                </w:p>
              </w:txbxContent>
            </v:textbox>
            <v:stroke dashstyle="solid"/>
            <w10:wrap type="topAndBottom"/>
          </v:shape>
        </w:pict>
      </w:r>
    </w:p>
    <w:sectPr>
      <w:pgSz w:w="15840" w:h="12240" w:orient="landscape"/>
      <w:pgMar w:top="380" w:bottom="280" w:left="320" w:right="5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rPr>
  </w:style>
  <w:style w:styleId="BodyText" w:type="paragraph">
    <w:name w:val="Body Text"/>
    <w:basedOn w:val="Normal"/>
    <w:uiPriority w:val="1"/>
    <w:qFormat/>
    <w:pPr/>
    <w:rPr>
      <w:rFonts w:ascii="Arial" w:hAnsi="Arial" w:eastAsia="Arial" w:cs="Arial"/>
      <w:b/>
      <w:bCs/>
      <w:sz w:val="18"/>
      <w:szCs w:val="18"/>
    </w:rPr>
  </w:style>
  <w:style w:styleId="Heading1" w:type="paragraph">
    <w:name w:val="Heading 1"/>
    <w:basedOn w:val="Normal"/>
    <w:uiPriority w:val="1"/>
    <w:qFormat/>
    <w:pPr>
      <w:ind w:left="111" w:hanging="4707"/>
      <w:outlineLvl w:val="1"/>
    </w:pPr>
    <w:rPr>
      <w:rFonts w:ascii="Arial" w:hAnsi="Arial" w:eastAsia="Arial" w:cs="Arial"/>
      <w:b/>
      <w:bCs/>
      <w:sz w:val="24"/>
      <w:szCs w:val="24"/>
    </w:rPr>
  </w:style>
  <w:style w:styleId="ListParagraph" w:type="paragraph">
    <w:name w:val="List Paragraph"/>
    <w:basedOn w:val="Normal"/>
    <w:uiPriority w:val="1"/>
    <w:qFormat/>
    <w:pPr/>
    <w:rPr/>
  </w:style>
  <w:style w:styleId="TableParagraph" w:type="paragraph">
    <w:name w:val="Table Paragraph"/>
    <w:basedOn w:val="Normal"/>
    <w:uiPriority w:val="1"/>
    <w:qFormat/>
    <w:pPr>
      <w:spacing w:before="124"/>
      <w:ind w:left="651"/>
      <w:jc w:val="center"/>
    </w:pPr>
    <w:rPr>
      <w:rFonts w:ascii="Arial" w:hAnsi="Arial" w:eastAsia="Arial" w:cs="Arial"/>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mhopper</dc:creator>
  <dc:title>Microsoft Word - H1625-A 2018</dc:title>
  <dcterms:created xsi:type="dcterms:W3CDTF">2017-12-22T23:42:39Z</dcterms:created>
  <dcterms:modified xsi:type="dcterms:W3CDTF">2017-12-22T23:42:39Z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2017-05-31T00:00:00Z</vt:filetime>
  </property>
  <property fmtid="{D5CDD505-2E9C-101B-9397-08002B2CF9AE}" pid="3" name="Creator">
    <vt:lpwstr>PScript5.dll Version 5.2.2</vt:lpwstr>
  </property>
  <property fmtid="{D5CDD505-2E9C-101B-9397-08002B2CF9AE}" pid="4" name="LastSaved">
    <vt:filetime>2017-12-22T00:00:00Z</vt:filetime>
  </property>
</Properties>
</file>